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078" w:rsidRDefault="0080754D" w:rsidP="00CE064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pt;height:25.8pt">
            <v:imagedata r:id="rId5" o:title="marca_gv_lateral_color (2)"/>
          </v:shape>
        </w:pict>
      </w:r>
      <w:r w:rsidR="00CE0648">
        <w:t xml:space="preserve">                    </w:t>
      </w:r>
      <w:r w:rsidR="00CF5FF6">
        <w:rPr>
          <w:noProof/>
        </w:rPr>
        <w:drawing>
          <wp:inline distT="0" distB="0" distL="0" distR="0" wp14:anchorId="3E4D3F47" wp14:editId="34814B47">
            <wp:extent cx="1499616" cy="293398"/>
            <wp:effectExtent l="0" t="0" r="5715" b="0"/>
            <wp:docPr id="5" name="Imagen 5" descr="GFA3-gris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A3-grisa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2375" cy="293938"/>
                    </a:xfrm>
                    <a:prstGeom prst="rect">
                      <a:avLst/>
                    </a:prstGeom>
                    <a:noFill/>
                    <a:ln>
                      <a:noFill/>
                    </a:ln>
                  </pic:spPr>
                </pic:pic>
              </a:graphicData>
            </a:graphic>
          </wp:inline>
        </w:drawing>
      </w:r>
      <w:r w:rsidR="00CE0648">
        <w:t xml:space="preserve">                      </w:t>
      </w:r>
      <w:r w:rsidR="00CF5FF6">
        <w:rPr>
          <w:noProof/>
        </w:rPr>
        <w:drawing>
          <wp:inline distT="0" distB="0" distL="0" distR="0" wp14:anchorId="5794845D" wp14:editId="77A6B65A">
            <wp:extent cx="963168" cy="570138"/>
            <wp:effectExtent l="0" t="0" r="8890" b="1905"/>
            <wp:docPr id="6" name="Imagen 6" descr="C:\Users\loineizm\AppData\Local\Microsoft\Windows\Temporary Internet Files\Content.Outlook\I5S82MG3\Logotipo Eudel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oineizm\AppData\Local\Microsoft\Windows\Temporary Internet Files\Content.Outlook\I5S82MG3\Logotipo Eudel (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0644" cy="574563"/>
                    </a:xfrm>
                    <a:prstGeom prst="rect">
                      <a:avLst/>
                    </a:prstGeom>
                    <a:noFill/>
                    <a:ln>
                      <a:noFill/>
                    </a:ln>
                  </pic:spPr>
                </pic:pic>
              </a:graphicData>
            </a:graphic>
          </wp:inline>
        </w:drawing>
      </w:r>
      <w:r w:rsidR="00CE0648">
        <w:t xml:space="preserve">         </w:t>
      </w:r>
    </w:p>
    <w:p w:rsidR="00913078" w:rsidRDefault="00913078" w:rsidP="00CE0648"/>
    <w:p w:rsidR="0056017F" w:rsidRDefault="00CE0648" w:rsidP="00CE0648">
      <w:r>
        <w:t xml:space="preserve">                            </w:t>
      </w:r>
      <w:r w:rsidRPr="00CE0648">
        <w:t xml:space="preserve"> </w:t>
      </w:r>
      <w:r w:rsidRPr="00CE0648">
        <w:rPr>
          <w:noProof/>
        </w:rPr>
        <mc:AlternateContent>
          <mc:Choice Requires="wps">
            <w:drawing>
              <wp:inline distT="0" distB="0" distL="0" distR="0">
                <wp:extent cx="5612354" cy="7144512"/>
                <wp:effectExtent l="0" t="0" r="0" b="0"/>
                <wp:docPr id="2" name="Rectángulo 2" descr="http://intranet.gipuzkoa.eus/documents/11340/45037/ARMARRIAkoloretan.JPG/365be365-5a4b-4032-b859-3a130e96d458?t=14109419560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2354" cy="7144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DB4" w:rsidRDefault="00491DB4" w:rsidP="00491DB4">
                            <w:pPr>
                              <w:jc w:val="center"/>
                              <w:rPr>
                                <w:b/>
                                <w:sz w:val="22"/>
                                <w:szCs w:val="22"/>
                              </w:rPr>
                            </w:pPr>
                            <w:r w:rsidRPr="00AD31E2">
                              <w:rPr>
                                <w:b/>
                                <w:sz w:val="22"/>
                                <w:szCs w:val="22"/>
                                <w:lang w:val="eu-ES"/>
                              </w:rPr>
                              <w:t>BILERA INFORMATIBOA</w:t>
                            </w:r>
                          </w:p>
                          <w:p w:rsidR="00491DB4" w:rsidRDefault="00491DB4" w:rsidP="00491DB4">
                            <w:pPr>
                              <w:jc w:val="center"/>
                              <w:rPr>
                                <w:b/>
                                <w:sz w:val="22"/>
                                <w:szCs w:val="22"/>
                              </w:rPr>
                            </w:pPr>
                          </w:p>
                          <w:p w:rsidR="00491DB4" w:rsidRPr="000C10E0" w:rsidRDefault="00491DB4" w:rsidP="00491DB4">
                            <w:pPr>
                              <w:jc w:val="center"/>
                              <w:rPr>
                                <w:b/>
                                <w:sz w:val="22"/>
                                <w:szCs w:val="22"/>
                              </w:rPr>
                            </w:pPr>
                            <w:r w:rsidRPr="00AD31E2">
                              <w:rPr>
                                <w:b/>
                                <w:sz w:val="22"/>
                                <w:szCs w:val="22"/>
                                <w:lang w:val="eu-ES"/>
                              </w:rPr>
                              <w:t>PRESTAZIOEN ETA ZERBITZUEN ZORROARI ETA GIZARTE ZERBITZUEN MAPARI BURUZKO DEKRETUA</w:t>
                            </w:r>
                            <w:r w:rsidRPr="000C10E0">
                              <w:rPr>
                                <w:b/>
                                <w:sz w:val="22"/>
                                <w:szCs w:val="22"/>
                              </w:rPr>
                              <w:t xml:space="preserve"> </w:t>
                            </w:r>
                          </w:p>
                          <w:p w:rsidR="00491DB4" w:rsidRPr="000C10E0" w:rsidRDefault="00491DB4" w:rsidP="00491DB4">
                            <w:pPr>
                              <w:ind w:firstLine="708"/>
                              <w:jc w:val="both"/>
                              <w:rPr>
                                <w:sz w:val="22"/>
                                <w:szCs w:val="22"/>
                              </w:rPr>
                            </w:pPr>
                          </w:p>
                          <w:p w:rsidR="00491DB4" w:rsidRPr="0080754D" w:rsidRDefault="00491DB4" w:rsidP="00491DB4">
                            <w:pPr>
                              <w:jc w:val="both"/>
                              <w:rPr>
                                <w:sz w:val="22"/>
                                <w:szCs w:val="22"/>
                                <w:lang w:val="eu-ES"/>
                              </w:rPr>
                            </w:pPr>
                            <w:r w:rsidRPr="00AD31E2">
                              <w:rPr>
                                <w:sz w:val="22"/>
                                <w:szCs w:val="22"/>
                                <w:lang w:val="eu-ES"/>
                              </w:rPr>
                              <w:t xml:space="preserve">Gizarte Zerbitzuen 12/2008 Legea garatzeko, 2015eko urriaren 6an 185/2015 Dekretua onartu zen, Gizarte Zerbitzuen Euskal Sistemako Prestazioen eta Zerbitzuen Zorroari buruzkoa. Udalek, foru aldundiek eta Eusko Jaurlaritzak derrigor eman behar dituzten prestazioak eta gizarte zerbitzuak definitzen ditu dekretu horrek.  </w:t>
                            </w:r>
                            <w:r w:rsidRPr="00491DB4">
                              <w:rPr>
                                <w:sz w:val="22"/>
                                <w:szCs w:val="22"/>
                                <w:lang w:val="eu-ES"/>
                              </w:rPr>
                              <w:t xml:space="preserve"> </w:t>
                            </w:r>
                            <w:r w:rsidRPr="00AD31E2">
                              <w:rPr>
                                <w:sz w:val="22"/>
                                <w:szCs w:val="22"/>
                                <w:lang w:val="eu-ES"/>
                              </w:rPr>
                              <w:t>Bestalde, aldeko irizpena eman zaio EAEko gizarte zerbitzuen mapa eta memoria ekonomikoa integratzen dituen Gizarte Zerbitzuen Plan Estrategikoari.</w:t>
                            </w:r>
                          </w:p>
                          <w:p w:rsidR="00491DB4" w:rsidRPr="0080754D" w:rsidRDefault="00491DB4" w:rsidP="00491DB4">
                            <w:pPr>
                              <w:ind w:firstLine="708"/>
                              <w:jc w:val="both"/>
                              <w:rPr>
                                <w:sz w:val="22"/>
                                <w:szCs w:val="22"/>
                                <w:lang w:val="eu-ES"/>
                              </w:rPr>
                            </w:pPr>
                          </w:p>
                          <w:p w:rsidR="00491DB4" w:rsidRPr="00491DB4" w:rsidRDefault="00491DB4" w:rsidP="00491DB4">
                            <w:pPr>
                              <w:jc w:val="both"/>
                              <w:rPr>
                                <w:sz w:val="22"/>
                                <w:szCs w:val="22"/>
                                <w:lang w:val="eu-ES"/>
                              </w:rPr>
                            </w:pPr>
                            <w:r w:rsidRPr="00AD31E2">
                              <w:rPr>
                                <w:sz w:val="22"/>
                                <w:szCs w:val="22"/>
                                <w:lang w:val="eu-ES"/>
                              </w:rPr>
                              <w:t xml:space="preserve">Gipuzkoako Lurralde Historikoan, Gipuzkoako Foru Aldundiko Gizarte Politikako Departamentuak, gizarte zerbitzuen mapa garatuz, udal gizarte zerbitzuen lurralde antolaketarako proposamen bat egin du. Orain, proposamen hori Gipuzkoako udalei aurkeztu nahi die. Bestalde, proposatu nahi die, baita ere, erakunde arteko mahai bat sortzea, gizarte zerbitzuen arloan koordinatzeko eta akordioak lortzeko. </w:t>
                            </w:r>
                            <w:r w:rsidRPr="00491DB4">
                              <w:rPr>
                                <w:sz w:val="22"/>
                                <w:szCs w:val="22"/>
                                <w:lang w:val="eu-ES"/>
                              </w:rPr>
                              <w:t xml:space="preserve"> </w:t>
                            </w:r>
                          </w:p>
                          <w:p w:rsidR="00491DB4" w:rsidRPr="00491DB4" w:rsidRDefault="00491DB4" w:rsidP="00491DB4">
                            <w:pPr>
                              <w:ind w:firstLine="708"/>
                              <w:jc w:val="both"/>
                              <w:rPr>
                                <w:sz w:val="22"/>
                                <w:szCs w:val="22"/>
                                <w:lang w:val="eu-ES"/>
                              </w:rPr>
                            </w:pPr>
                          </w:p>
                          <w:p w:rsidR="00491DB4" w:rsidRPr="00491DB4" w:rsidRDefault="00491DB4" w:rsidP="00491DB4">
                            <w:pPr>
                              <w:jc w:val="both"/>
                              <w:rPr>
                                <w:sz w:val="22"/>
                                <w:szCs w:val="22"/>
                                <w:lang w:val="eu-ES"/>
                              </w:rPr>
                            </w:pPr>
                            <w:r w:rsidRPr="00AD31E2">
                              <w:rPr>
                                <w:sz w:val="22"/>
                                <w:szCs w:val="22"/>
                                <w:lang w:val="eu-ES"/>
                              </w:rPr>
                              <w:t>Prozesu horien guztien inguruko informazioa emateko, eta Gizarte Zerbitzuen Euskal Sistemak izango duen garapenari buruz hitz egiteko (</w:t>
                            </w:r>
                            <w:proofErr w:type="spellStart"/>
                            <w:r w:rsidRPr="00AD31E2">
                              <w:rPr>
                                <w:sz w:val="22"/>
                                <w:szCs w:val="22"/>
                                <w:lang w:val="eu-ES"/>
                              </w:rPr>
                              <w:t>unibertsalizazioa</w:t>
                            </w:r>
                            <w:proofErr w:type="spellEnd"/>
                            <w:r w:rsidRPr="00AD31E2">
                              <w:rPr>
                                <w:sz w:val="22"/>
                                <w:szCs w:val="22"/>
                                <w:lang w:val="eu-ES"/>
                              </w:rPr>
                              <w:t xml:space="preserve"> 2016ko abenduaren 26tik aurrera), bilera informatibo bat deituko da, udaletako alkateei zuzenduta. Bilera horretan egongo dira: Eusko Jaurlaritzako Gizarte Politiketako sailburuordea, Gipuzkoako Foru Aldundiko Gizarte Politikako Departamentuko foru diputatua eta Plangintzako zuzendaria, eta </w:t>
                            </w:r>
                            <w:proofErr w:type="spellStart"/>
                            <w:r w:rsidRPr="00AD31E2">
                              <w:rPr>
                                <w:sz w:val="22"/>
                                <w:szCs w:val="22"/>
                                <w:lang w:val="eu-ES"/>
                              </w:rPr>
                              <w:t>EUDELeko</w:t>
                            </w:r>
                            <w:proofErr w:type="spellEnd"/>
                            <w:r w:rsidRPr="00AD31E2">
                              <w:rPr>
                                <w:sz w:val="22"/>
                                <w:szCs w:val="22"/>
                                <w:lang w:val="eu-ES"/>
                              </w:rPr>
                              <w:t xml:space="preserve"> Gipuzkoako Lurralde Batzordeko alkateen ordezkaritza bat.  </w:t>
                            </w:r>
                          </w:p>
                          <w:p w:rsidR="00491DB4" w:rsidRPr="00491DB4" w:rsidRDefault="00491DB4" w:rsidP="00491DB4">
                            <w:pPr>
                              <w:jc w:val="both"/>
                              <w:rPr>
                                <w:rFonts w:eastAsia="Times New Roman"/>
                                <w:sz w:val="22"/>
                                <w:szCs w:val="22"/>
                                <w:lang w:val="eu-ES"/>
                              </w:rPr>
                            </w:pPr>
                            <w:r w:rsidRPr="00491DB4">
                              <w:rPr>
                                <w:rFonts w:eastAsia="Times New Roman"/>
                                <w:sz w:val="22"/>
                                <w:szCs w:val="22"/>
                                <w:lang w:val="eu-ES"/>
                              </w:rPr>
                              <w:t>_____________________________________________________________________</w:t>
                            </w:r>
                          </w:p>
                          <w:p w:rsidR="00491DB4" w:rsidRPr="00491DB4" w:rsidRDefault="00491DB4" w:rsidP="00491DB4">
                            <w:pPr>
                              <w:jc w:val="both"/>
                              <w:rPr>
                                <w:rFonts w:eastAsia="Times New Roman"/>
                                <w:sz w:val="22"/>
                                <w:szCs w:val="22"/>
                                <w:lang w:val="eu-ES"/>
                              </w:rPr>
                            </w:pPr>
                          </w:p>
                          <w:p w:rsidR="00491DB4" w:rsidRPr="00491DB4" w:rsidRDefault="00491DB4" w:rsidP="00491DB4">
                            <w:pPr>
                              <w:jc w:val="both"/>
                              <w:rPr>
                                <w:rFonts w:eastAsia="Times New Roman"/>
                                <w:i/>
                                <w:sz w:val="22"/>
                                <w:szCs w:val="22"/>
                                <w:lang w:val="eu-ES"/>
                              </w:rPr>
                            </w:pPr>
                            <w:r w:rsidRPr="00AD31E2">
                              <w:rPr>
                                <w:rFonts w:eastAsia="Times New Roman"/>
                                <w:b/>
                                <w:i/>
                                <w:sz w:val="22"/>
                                <w:szCs w:val="22"/>
                                <w:lang w:val="eu-ES"/>
                              </w:rPr>
                              <w:t>EGUNA:</w:t>
                            </w:r>
                            <w:r w:rsidRPr="00491DB4">
                              <w:rPr>
                                <w:rFonts w:eastAsia="Times New Roman"/>
                                <w:sz w:val="22"/>
                                <w:szCs w:val="22"/>
                                <w:lang w:val="eu-ES"/>
                              </w:rPr>
                              <w:t xml:space="preserve"> </w:t>
                            </w:r>
                            <w:r w:rsidRPr="00AD31E2">
                              <w:rPr>
                                <w:rFonts w:eastAsia="Times New Roman"/>
                                <w:i/>
                                <w:sz w:val="22"/>
                                <w:szCs w:val="22"/>
                                <w:lang w:val="eu-ES"/>
                              </w:rPr>
                              <w:t>2015eko abenduak 16</w:t>
                            </w:r>
                          </w:p>
                          <w:p w:rsidR="00491DB4" w:rsidRPr="00491DB4" w:rsidRDefault="00491DB4" w:rsidP="00491DB4">
                            <w:pPr>
                              <w:jc w:val="both"/>
                              <w:rPr>
                                <w:rFonts w:eastAsia="Times New Roman"/>
                                <w:i/>
                                <w:sz w:val="22"/>
                                <w:szCs w:val="22"/>
                                <w:lang w:val="eu-ES"/>
                              </w:rPr>
                            </w:pPr>
                            <w:r w:rsidRPr="00AD31E2">
                              <w:rPr>
                                <w:rFonts w:eastAsia="Times New Roman"/>
                                <w:b/>
                                <w:i/>
                                <w:sz w:val="22"/>
                                <w:szCs w:val="22"/>
                                <w:lang w:val="eu-ES"/>
                              </w:rPr>
                              <w:t>ORDUA:</w:t>
                            </w:r>
                            <w:r w:rsidRPr="00491DB4">
                              <w:rPr>
                                <w:rFonts w:eastAsia="Times New Roman"/>
                                <w:sz w:val="22"/>
                                <w:szCs w:val="22"/>
                                <w:lang w:val="eu-ES"/>
                              </w:rPr>
                              <w:t xml:space="preserve"> </w:t>
                            </w:r>
                            <w:r w:rsidRPr="00AD31E2">
                              <w:rPr>
                                <w:rFonts w:eastAsia="Times New Roman"/>
                                <w:i/>
                                <w:sz w:val="22"/>
                                <w:szCs w:val="22"/>
                                <w:lang w:val="eu-ES"/>
                              </w:rPr>
                              <w:t>12,30 h</w:t>
                            </w:r>
                          </w:p>
                          <w:p w:rsidR="00491DB4" w:rsidRPr="00491DB4" w:rsidRDefault="00491DB4" w:rsidP="00491DB4">
                            <w:pPr>
                              <w:jc w:val="both"/>
                              <w:rPr>
                                <w:rFonts w:eastAsia="Times New Roman"/>
                                <w:i/>
                                <w:sz w:val="22"/>
                                <w:szCs w:val="22"/>
                                <w:lang w:val="eu-ES"/>
                              </w:rPr>
                            </w:pPr>
                            <w:r w:rsidRPr="00AD31E2">
                              <w:rPr>
                                <w:rFonts w:eastAsia="Times New Roman"/>
                                <w:b/>
                                <w:i/>
                                <w:sz w:val="22"/>
                                <w:szCs w:val="22"/>
                                <w:lang w:val="eu-ES"/>
                              </w:rPr>
                              <w:t>LEKUA:</w:t>
                            </w:r>
                            <w:r w:rsidRPr="00491DB4">
                              <w:rPr>
                                <w:rFonts w:eastAsia="Times New Roman"/>
                                <w:b/>
                                <w:i/>
                                <w:sz w:val="22"/>
                                <w:szCs w:val="22"/>
                                <w:lang w:val="eu-ES"/>
                              </w:rPr>
                              <w:t xml:space="preserve"> </w:t>
                            </w:r>
                            <w:r w:rsidRPr="00AD31E2">
                              <w:rPr>
                                <w:rFonts w:eastAsia="Times New Roman"/>
                                <w:i/>
                                <w:sz w:val="22"/>
                                <w:szCs w:val="22"/>
                                <w:lang w:val="eu-ES"/>
                              </w:rPr>
                              <w:t>Donostia, Gipuzkoako Foru Aldundiko Jauregia (Jargi aretoa).</w:t>
                            </w:r>
                          </w:p>
                          <w:p w:rsidR="00491DB4" w:rsidRPr="00491DB4" w:rsidRDefault="00491DB4" w:rsidP="00491DB4">
                            <w:pPr>
                              <w:jc w:val="both"/>
                              <w:rPr>
                                <w:rFonts w:eastAsia="Times New Roman"/>
                                <w:sz w:val="22"/>
                                <w:szCs w:val="22"/>
                                <w:lang w:val="eu-ES"/>
                              </w:rPr>
                            </w:pPr>
                            <w:r w:rsidRPr="00AD31E2">
                              <w:rPr>
                                <w:rFonts w:eastAsia="Times New Roman"/>
                                <w:b/>
                                <w:i/>
                                <w:sz w:val="22"/>
                                <w:szCs w:val="22"/>
                                <w:lang w:val="eu-ES"/>
                              </w:rPr>
                              <w:t>GAI ZERRENDA:</w:t>
                            </w:r>
                            <w:r w:rsidRPr="00491DB4">
                              <w:rPr>
                                <w:rFonts w:eastAsia="Times New Roman"/>
                                <w:sz w:val="22"/>
                                <w:szCs w:val="22"/>
                                <w:lang w:val="eu-ES"/>
                              </w:rPr>
                              <w:t xml:space="preserve"> </w:t>
                            </w:r>
                          </w:p>
                          <w:p w:rsidR="00491DB4" w:rsidRPr="00491DB4" w:rsidRDefault="00491DB4" w:rsidP="00491DB4">
                            <w:pPr>
                              <w:ind w:left="2124"/>
                              <w:jc w:val="both"/>
                              <w:rPr>
                                <w:rFonts w:eastAsia="Times New Roman"/>
                                <w:i/>
                                <w:sz w:val="22"/>
                                <w:szCs w:val="22"/>
                                <w:lang w:val="eu-ES"/>
                              </w:rPr>
                            </w:pPr>
                            <w:r w:rsidRPr="00AD31E2">
                              <w:rPr>
                                <w:rFonts w:eastAsia="Times New Roman"/>
                                <w:i/>
                                <w:sz w:val="22"/>
                                <w:szCs w:val="22"/>
                                <w:lang w:val="eu-ES"/>
                              </w:rPr>
                              <w:t xml:space="preserve">1.- Zorroari buruzko dekretua eta udal eskumeneko gizarte zerbitzuak. </w:t>
                            </w:r>
                            <w:r w:rsidRPr="00491DB4">
                              <w:rPr>
                                <w:rFonts w:eastAsia="Times New Roman"/>
                                <w:i/>
                                <w:sz w:val="22"/>
                                <w:szCs w:val="22"/>
                                <w:lang w:val="eu-ES"/>
                              </w:rPr>
                              <w:t xml:space="preserve"> </w:t>
                            </w:r>
                          </w:p>
                          <w:p w:rsidR="00491DB4" w:rsidRPr="00491DB4" w:rsidRDefault="00491DB4" w:rsidP="00491DB4">
                            <w:pPr>
                              <w:ind w:left="1416" w:firstLine="708"/>
                              <w:jc w:val="both"/>
                              <w:rPr>
                                <w:rFonts w:eastAsia="Times New Roman"/>
                                <w:i/>
                                <w:sz w:val="22"/>
                                <w:szCs w:val="22"/>
                                <w:lang w:val="eu-ES"/>
                              </w:rPr>
                            </w:pPr>
                            <w:r w:rsidRPr="00AD31E2">
                              <w:rPr>
                                <w:rFonts w:eastAsia="Times New Roman"/>
                                <w:i/>
                                <w:sz w:val="22"/>
                                <w:szCs w:val="22"/>
                                <w:lang w:val="eu-ES"/>
                              </w:rPr>
                              <w:t>2.- Gizarte zerbitzuen mapa.</w:t>
                            </w:r>
                          </w:p>
                          <w:p w:rsidR="00491DB4" w:rsidRPr="00491DB4" w:rsidRDefault="00491DB4" w:rsidP="00491DB4">
                            <w:pPr>
                              <w:ind w:left="2124"/>
                              <w:jc w:val="both"/>
                              <w:rPr>
                                <w:rFonts w:eastAsia="Times New Roman"/>
                                <w:i/>
                                <w:sz w:val="22"/>
                                <w:szCs w:val="22"/>
                                <w:lang w:val="eu-ES"/>
                              </w:rPr>
                            </w:pPr>
                            <w:r w:rsidRPr="00AD31E2">
                              <w:rPr>
                                <w:rFonts w:eastAsia="Times New Roman"/>
                                <w:i/>
                                <w:sz w:val="22"/>
                                <w:szCs w:val="22"/>
                                <w:lang w:val="eu-ES"/>
                              </w:rPr>
                              <w:t>3.- Udal eskumeneko zerbitzuetarako inbertsioen aparteko funtsa.</w:t>
                            </w:r>
                          </w:p>
                          <w:p w:rsidR="00491DB4" w:rsidRPr="00491DB4" w:rsidRDefault="00491DB4" w:rsidP="00491DB4">
                            <w:pPr>
                              <w:ind w:left="2124"/>
                              <w:jc w:val="both"/>
                              <w:rPr>
                                <w:rFonts w:eastAsia="Times New Roman"/>
                                <w:i/>
                                <w:sz w:val="22"/>
                                <w:szCs w:val="22"/>
                                <w:lang w:val="eu-ES"/>
                              </w:rPr>
                            </w:pPr>
                            <w:r w:rsidRPr="00AD31E2">
                              <w:rPr>
                                <w:rFonts w:eastAsia="Times New Roman"/>
                                <w:i/>
                                <w:sz w:val="22"/>
                                <w:szCs w:val="22"/>
                                <w:lang w:val="eu-ES"/>
                              </w:rPr>
                              <w:t>4.- Gipuzkoako gizarte zerbitzuen erakunde arteko mahaia.</w:t>
                            </w:r>
                          </w:p>
                          <w:p w:rsidR="00491DB4" w:rsidRPr="000C10E0" w:rsidRDefault="00491DB4" w:rsidP="00491DB4">
                            <w:pPr>
                              <w:jc w:val="both"/>
                              <w:rPr>
                                <w:rFonts w:eastAsia="Times New Roman"/>
                                <w:sz w:val="22"/>
                                <w:szCs w:val="22"/>
                              </w:rPr>
                            </w:pPr>
                            <w:r w:rsidRPr="000C10E0">
                              <w:rPr>
                                <w:rFonts w:eastAsia="Times New Roman"/>
                                <w:sz w:val="22"/>
                                <w:szCs w:val="22"/>
                              </w:rPr>
                              <w:t>_______________________________________________________________</w:t>
                            </w:r>
                            <w:r>
                              <w:rPr>
                                <w:rFonts w:eastAsia="Times New Roman"/>
                                <w:sz w:val="22"/>
                                <w:szCs w:val="22"/>
                              </w:rPr>
                              <w:t>______</w:t>
                            </w:r>
                          </w:p>
                          <w:p w:rsidR="00491DB4" w:rsidRPr="000C10E0" w:rsidRDefault="00491DB4" w:rsidP="00491DB4">
                            <w:pPr>
                              <w:jc w:val="both"/>
                              <w:rPr>
                                <w:rFonts w:eastAsia="Times New Roman"/>
                                <w:sz w:val="22"/>
                                <w:szCs w:val="22"/>
                              </w:rPr>
                            </w:pPr>
                          </w:p>
                          <w:p w:rsidR="00913078" w:rsidRPr="00913078" w:rsidRDefault="00491DB4" w:rsidP="00913078">
                            <w:pPr>
                              <w:pStyle w:val="Textosinformato"/>
                              <w:rPr>
                                <w:rFonts w:ascii="Calibri" w:hAnsi="Calibri"/>
                                <w:sz w:val="22"/>
                                <w:lang w:eastAsia="en-US"/>
                              </w:rPr>
                            </w:pPr>
                            <w:proofErr w:type="spellStart"/>
                            <w:r w:rsidRPr="00AD31E2">
                              <w:rPr>
                                <w:rFonts w:eastAsia="Times New Roman"/>
                                <w:sz w:val="22"/>
                                <w:szCs w:val="22"/>
                                <w:lang w:val="eu-ES"/>
                              </w:rPr>
                              <w:t>Aforo</w:t>
                            </w:r>
                            <w:proofErr w:type="spellEnd"/>
                            <w:r w:rsidRPr="00AD31E2">
                              <w:rPr>
                                <w:rFonts w:eastAsia="Times New Roman"/>
                                <w:sz w:val="22"/>
                                <w:szCs w:val="22"/>
                                <w:lang w:val="eu-ES"/>
                              </w:rPr>
                              <w:t xml:space="preserve"> arazoak saihesteko, ezinbestekoa da esteka honetan izena ematea:</w:t>
                            </w:r>
                            <w:r w:rsidR="00913078" w:rsidRPr="00913078">
                              <w:rPr>
                                <w:rFonts w:ascii="Calibri" w:hAnsi="Calibri"/>
                                <w:sz w:val="22"/>
                                <w:lang w:eastAsia="en-US"/>
                              </w:rPr>
                              <w:t xml:space="preserve"> </w:t>
                            </w:r>
                          </w:p>
                          <w:p w:rsidR="00491DB4" w:rsidRPr="000C10E0" w:rsidRDefault="0080754D" w:rsidP="00913078">
                            <w:pPr>
                              <w:jc w:val="both"/>
                              <w:rPr>
                                <w:rFonts w:eastAsia="Times New Roman"/>
                                <w:sz w:val="22"/>
                                <w:szCs w:val="22"/>
                              </w:rPr>
                            </w:pPr>
                            <w:hyperlink r:id="rId8" w:history="1">
                              <w:r w:rsidR="00913078" w:rsidRPr="00913078">
                                <w:rPr>
                                  <w:rFonts w:ascii="Calibri" w:hAnsi="Calibri"/>
                                  <w:color w:val="0000FF" w:themeColor="hyperlink"/>
                                  <w:sz w:val="22"/>
                                  <w:szCs w:val="22"/>
                                  <w:u w:val="single"/>
                                  <w:lang w:eastAsia="en-US"/>
                                </w:rPr>
                                <w:t>http://gizartepolitika.eus/eu/abenduak-16ko-bilera</w:t>
                              </w:r>
                            </w:hyperlink>
                          </w:p>
                          <w:p w:rsidR="00491DB4" w:rsidRPr="000C10E0" w:rsidRDefault="00491DB4" w:rsidP="00491DB4">
                            <w:pPr>
                              <w:jc w:val="both"/>
                              <w:rPr>
                                <w:rFonts w:eastAsia="Times New Roman"/>
                                <w:sz w:val="22"/>
                                <w:szCs w:val="22"/>
                                <w:u w:val="single"/>
                              </w:rPr>
                            </w:pPr>
                            <w:r w:rsidRPr="00AD31E2">
                              <w:rPr>
                                <w:rFonts w:eastAsia="Times New Roman"/>
                                <w:sz w:val="22"/>
                                <w:szCs w:val="22"/>
                                <w:lang w:val="eu-ES"/>
                              </w:rPr>
                              <w:t>Izena emateko azken eguna: 2015eko abenduak 11</w:t>
                            </w:r>
                          </w:p>
                          <w:p w:rsidR="00491DB4" w:rsidRPr="000C10E0" w:rsidRDefault="00491DB4" w:rsidP="00491DB4">
                            <w:pPr>
                              <w:jc w:val="both"/>
                              <w:rPr>
                                <w:rFonts w:eastAsia="Times New Roman"/>
                                <w:sz w:val="22"/>
                                <w:szCs w:val="22"/>
                                <w:u w:val="single"/>
                              </w:rPr>
                            </w:pPr>
                          </w:p>
                          <w:p w:rsidR="00491DB4" w:rsidRDefault="00491DB4" w:rsidP="00491DB4">
                            <w:pPr>
                              <w:jc w:val="center"/>
                              <w:rPr>
                                <w:rFonts w:eastAsia="Times New Roman"/>
                                <w:sz w:val="22"/>
                                <w:szCs w:val="22"/>
                              </w:rPr>
                            </w:pPr>
                          </w:p>
                          <w:p w:rsidR="00491DB4" w:rsidRPr="000C10E0" w:rsidRDefault="00491DB4" w:rsidP="00491DB4">
                            <w:pPr>
                              <w:jc w:val="center"/>
                              <w:rPr>
                                <w:rFonts w:eastAsia="Times New Roman"/>
                                <w:sz w:val="22"/>
                                <w:szCs w:val="22"/>
                              </w:rPr>
                            </w:pPr>
                            <w:bookmarkStart w:id="0" w:name="_GoBack"/>
                            <w:bookmarkEnd w:id="0"/>
                          </w:p>
                          <w:p w:rsidR="00491DB4" w:rsidRPr="000C10E0" w:rsidRDefault="00491DB4" w:rsidP="00491DB4">
                            <w:pPr>
                              <w:jc w:val="center"/>
                              <w:rPr>
                                <w:rFonts w:eastAsia="Times New Roman"/>
                                <w:sz w:val="22"/>
                                <w:szCs w:val="22"/>
                              </w:rPr>
                            </w:pPr>
                          </w:p>
                          <w:p w:rsidR="00491DB4" w:rsidRDefault="00491DB4" w:rsidP="00491DB4">
                            <w:pPr>
                              <w:jc w:val="center"/>
                            </w:pPr>
                          </w:p>
                        </w:txbxContent>
                      </wps:txbx>
                      <wps:bodyPr rot="0" vert="horz" wrap="square" lIns="91440" tIns="45720" rIns="91440" bIns="45720" anchor="t" anchorCtr="0" upright="1">
                        <a:noAutofit/>
                      </wps:bodyPr>
                    </wps:wsp>
                  </a:graphicData>
                </a:graphic>
              </wp:inline>
            </w:drawing>
          </mc:Choice>
          <mc:Fallback>
            <w:pict>
              <v:rect id="Rectángulo 2" o:spid="_x0000_s1026" alt="Descripción: http://intranet.gipuzkoa.eus/documents/11340/45037/ARMARRIAkoloretan.JPG/365be365-5a4b-4032-b859-3a130e96d458?t=1410941956000" style="width:441.9pt;height:5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" filled="f" stroked="f">
                <o:lock v:ext="edit" aspectratio="t"/>
                <v:textbox>
                  <w:txbxContent>
                    <w:p w:rsidR="00491DB4" w:rsidRDefault="00491DB4" w:rsidP="00491DB4">
                      <w:pPr>
                        <w:jc w:val="center"/>
                        <w:rPr>
                          <w:b/>
                          <w:sz w:val="22"/>
                          <w:szCs w:val="22"/>
                        </w:rPr>
                      </w:pPr>
                      <w:r w:rsidRPr="00AD31E2">
                        <w:rPr>
                          <w:b/>
                          <w:sz w:val="22"/>
                          <w:szCs w:val="22"/>
                          <w:lang w:val="eu-ES"/>
                        </w:rPr>
                        <w:t>BILERA INFORMATIBOA</w:t>
                      </w:r>
                    </w:p>
                    <w:p w:rsidR="00491DB4" w:rsidRDefault="00491DB4" w:rsidP="00491DB4">
                      <w:pPr>
                        <w:jc w:val="center"/>
                        <w:rPr>
                          <w:b/>
                          <w:sz w:val="22"/>
                          <w:szCs w:val="22"/>
                        </w:rPr>
                      </w:pPr>
                    </w:p>
                    <w:p w:rsidR="00491DB4" w:rsidRPr="000C10E0" w:rsidRDefault="00491DB4" w:rsidP="00491DB4">
                      <w:pPr>
                        <w:jc w:val="center"/>
                        <w:rPr>
                          <w:b/>
                          <w:sz w:val="22"/>
                          <w:szCs w:val="22"/>
                        </w:rPr>
                      </w:pPr>
                      <w:r w:rsidRPr="00AD31E2">
                        <w:rPr>
                          <w:b/>
                          <w:sz w:val="22"/>
                          <w:szCs w:val="22"/>
                          <w:lang w:val="eu-ES"/>
                        </w:rPr>
                        <w:t>PRESTAZIOEN ETA ZERBITZUEN ZORROARI ETA GIZARTE ZERBITZUEN MAPARI BURUZKO DEKRETUA</w:t>
                      </w:r>
                      <w:r w:rsidRPr="000C10E0">
                        <w:rPr>
                          <w:b/>
                          <w:sz w:val="22"/>
                          <w:szCs w:val="22"/>
                        </w:rPr>
                        <w:t xml:space="preserve"> </w:t>
                      </w:r>
                    </w:p>
                    <w:p w:rsidR="00491DB4" w:rsidRPr="000C10E0" w:rsidRDefault="00491DB4" w:rsidP="00491DB4">
                      <w:pPr>
                        <w:ind w:firstLine="708"/>
                        <w:jc w:val="both"/>
                        <w:rPr>
                          <w:sz w:val="22"/>
                          <w:szCs w:val="22"/>
                        </w:rPr>
                      </w:pPr>
                    </w:p>
                    <w:p w:rsidR="00491DB4" w:rsidRPr="0080754D" w:rsidRDefault="00491DB4" w:rsidP="00491DB4">
                      <w:pPr>
                        <w:jc w:val="both"/>
                        <w:rPr>
                          <w:sz w:val="22"/>
                          <w:szCs w:val="22"/>
                          <w:lang w:val="eu-ES"/>
                        </w:rPr>
                      </w:pPr>
                      <w:r w:rsidRPr="00AD31E2">
                        <w:rPr>
                          <w:sz w:val="22"/>
                          <w:szCs w:val="22"/>
                          <w:lang w:val="eu-ES"/>
                        </w:rPr>
                        <w:t xml:space="preserve">Gizarte Zerbitzuen 12/2008 Legea garatzeko, 2015eko urriaren 6an 185/2015 Dekretua onartu zen, Gizarte Zerbitzuen Euskal Sistemako Prestazioen eta Zerbitzuen Zorroari buruzkoa. Udalek, foru aldundiek eta Eusko Jaurlaritzak derrigor eman behar dituzten prestazioak eta gizarte zerbitzuak definitzen ditu dekretu horrek.  </w:t>
                      </w:r>
                      <w:r w:rsidRPr="00491DB4">
                        <w:rPr>
                          <w:sz w:val="22"/>
                          <w:szCs w:val="22"/>
                          <w:lang w:val="eu-ES"/>
                        </w:rPr>
                        <w:t xml:space="preserve"> </w:t>
                      </w:r>
                      <w:r w:rsidRPr="00AD31E2">
                        <w:rPr>
                          <w:sz w:val="22"/>
                          <w:szCs w:val="22"/>
                          <w:lang w:val="eu-ES"/>
                        </w:rPr>
                        <w:t>Bestalde, aldeko irizpena eman zaio EAEko gizarte zerbitzuen mapa eta memoria ekonomikoa integratzen dituen Gizarte Zerbitzuen Plan Estrategikoari.</w:t>
                      </w:r>
                    </w:p>
                    <w:p w:rsidR="00491DB4" w:rsidRPr="0080754D" w:rsidRDefault="00491DB4" w:rsidP="00491DB4">
                      <w:pPr>
                        <w:ind w:firstLine="708"/>
                        <w:jc w:val="both"/>
                        <w:rPr>
                          <w:sz w:val="22"/>
                          <w:szCs w:val="22"/>
                          <w:lang w:val="eu-ES"/>
                        </w:rPr>
                      </w:pPr>
                    </w:p>
                    <w:p w:rsidR="00491DB4" w:rsidRPr="00491DB4" w:rsidRDefault="00491DB4" w:rsidP="00491DB4">
                      <w:pPr>
                        <w:jc w:val="both"/>
                        <w:rPr>
                          <w:sz w:val="22"/>
                          <w:szCs w:val="22"/>
                          <w:lang w:val="eu-ES"/>
                        </w:rPr>
                      </w:pPr>
                      <w:r w:rsidRPr="00AD31E2">
                        <w:rPr>
                          <w:sz w:val="22"/>
                          <w:szCs w:val="22"/>
                          <w:lang w:val="eu-ES"/>
                        </w:rPr>
                        <w:t xml:space="preserve">Gipuzkoako Lurralde Historikoan, Gipuzkoako Foru Aldundiko Gizarte Politikako Departamentuak, gizarte zerbitzuen mapa garatuz, udal gizarte zerbitzuen lurralde antolaketarako proposamen bat egin du. Orain, proposamen hori Gipuzkoako udalei aurkeztu nahi die. Bestalde, proposatu nahi die, baita ere, erakunde arteko mahai bat sortzea, gizarte zerbitzuen arloan koordinatzeko eta akordioak lortzeko. </w:t>
                      </w:r>
                      <w:r w:rsidRPr="00491DB4">
                        <w:rPr>
                          <w:sz w:val="22"/>
                          <w:szCs w:val="22"/>
                          <w:lang w:val="eu-ES"/>
                        </w:rPr>
                        <w:t xml:space="preserve"> </w:t>
                      </w:r>
                    </w:p>
                    <w:p w:rsidR="00491DB4" w:rsidRPr="00491DB4" w:rsidRDefault="00491DB4" w:rsidP="00491DB4">
                      <w:pPr>
                        <w:ind w:firstLine="708"/>
                        <w:jc w:val="both"/>
                        <w:rPr>
                          <w:sz w:val="22"/>
                          <w:szCs w:val="22"/>
                          <w:lang w:val="eu-ES"/>
                        </w:rPr>
                      </w:pPr>
                    </w:p>
                    <w:p w:rsidR="00491DB4" w:rsidRPr="00491DB4" w:rsidRDefault="00491DB4" w:rsidP="00491DB4">
                      <w:pPr>
                        <w:jc w:val="both"/>
                        <w:rPr>
                          <w:sz w:val="22"/>
                          <w:szCs w:val="22"/>
                          <w:lang w:val="eu-ES"/>
                        </w:rPr>
                      </w:pPr>
                      <w:r w:rsidRPr="00AD31E2">
                        <w:rPr>
                          <w:sz w:val="22"/>
                          <w:szCs w:val="22"/>
                          <w:lang w:val="eu-ES"/>
                        </w:rPr>
                        <w:t>Prozesu horien guztien inguruko informazioa emateko, eta Gizarte Zerbitzuen Euskal Sistemak izango duen garapenari buruz hitz egiteko (</w:t>
                      </w:r>
                      <w:proofErr w:type="spellStart"/>
                      <w:r w:rsidRPr="00AD31E2">
                        <w:rPr>
                          <w:sz w:val="22"/>
                          <w:szCs w:val="22"/>
                          <w:lang w:val="eu-ES"/>
                        </w:rPr>
                        <w:t>unibertsalizazioa</w:t>
                      </w:r>
                      <w:proofErr w:type="spellEnd"/>
                      <w:r w:rsidRPr="00AD31E2">
                        <w:rPr>
                          <w:sz w:val="22"/>
                          <w:szCs w:val="22"/>
                          <w:lang w:val="eu-ES"/>
                        </w:rPr>
                        <w:t xml:space="preserve"> 2016ko abenduaren 26tik aurrera), bilera informatibo bat deituko da, udaletako alkateei zuzenduta. Bilera horretan egongo dira: Eusko Jaurlaritzako Gizarte Politiketako sailburuordea, Gipuzkoako Foru Aldundiko Gizarte Politikako Departamentuko foru diputatua eta Plangintzako zuzendaria, eta </w:t>
                      </w:r>
                      <w:proofErr w:type="spellStart"/>
                      <w:r w:rsidRPr="00AD31E2">
                        <w:rPr>
                          <w:sz w:val="22"/>
                          <w:szCs w:val="22"/>
                          <w:lang w:val="eu-ES"/>
                        </w:rPr>
                        <w:t>EUDELeko</w:t>
                      </w:r>
                      <w:proofErr w:type="spellEnd"/>
                      <w:r w:rsidRPr="00AD31E2">
                        <w:rPr>
                          <w:sz w:val="22"/>
                          <w:szCs w:val="22"/>
                          <w:lang w:val="eu-ES"/>
                        </w:rPr>
                        <w:t xml:space="preserve"> Gipuzkoako Lurralde Batzordeko alkateen ordezkaritza bat.  </w:t>
                      </w:r>
                    </w:p>
                    <w:p w:rsidR="00491DB4" w:rsidRPr="00491DB4" w:rsidRDefault="00491DB4" w:rsidP="00491DB4">
                      <w:pPr>
                        <w:jc w:val="both"/>
                        <w:rPr>
                          <w:rFonts w:eastAsia="Times New Roman"/>
                          <w:sz w:val="22"/>
                          <w:szCs w:val="22"/>
                          <w:lang w:val="eu-ES"/>
                        </w:rPr>
                      </w:pPr>
                      <w:r w:rsidRPr="00491DB4">
                        <w:rPr>
                          <w:rFonts w:eastAsia="Times New Roman"/>
                          <w:sz w:val="22"/>
                          <w:szCs w:val="22"/>
                          <w:lang w:val="eu-ES"/>
                        </w:rPr>
                        <w:t>_____________________________________________________________________</w:t>
                      </w:r>
                    </w:p>
                    <w:p w:rsidR="00491DB4" w:rsidRPr="00491DB4" w:rsidRDefault="00491DB4" w:rsidP="00491DB4">
                      <w:pPr>
                        <w:jc w:val="both"/>
                        <w:rPr>
                          <w:rFonts w:eastAsia="Times New Roman"/>
                          <w:sz w:val="22"/>
                          <w:szCs w:val="22"/>
                          <w:lang w:val="eu-ES"/>
                        </w:rPr>
                      </w:pPr>
                    </w:p>
                    <w:p w:rsidR="00491DB4" w:rsidRPr="00491DB4" w:rsidRDefault="00491DB4" w:rsidP="00491DB4">
                      <w:pPr>
                        <w:jc w:val="both"/>
                        <w:rPr>
                          <w:rFonts w:eastAsia="Times New Roman"/>
                          <w:i/>
                          <w:sz w:val="22"/>
                          <w:szCs w:val="22"/>
                          <w:lang w:val="eu-ES"/>
                        </w:rPr>
                      </w:pPr>
                      <w:r w:rsidRPr="00AD31E2">
                        <w:rPr>
                          <w:rFonts w:eastAsia="Times New Roman"/>
                          <w:b/>
                          <w:i/>
                          <w:sz w:val="22"/>
                          <w:szCs w:val="22"/>
                          <w:lang w:val="eu-ES"/>
                        </w:rPr>
                        <w:t>EGUNA:</w:t>
                      </w:r>
                      <w:r w:rsidRPr="00491DB4">
                        <w:rPr>
                          <w:rFonts w:eastAsia="Times New Roman"/>
                          <w:sz w:val="22"/>
                          <w:szCs w:val="22"/>
                          <w:lang w:val="eu-ES"/>
                        </w:rPr>
                        <w:t xml:space="preserve"> </w:t>
                      </w:r>
                      <w:r w:rsidRPr="00AD31E2">
                        <w:rPr>
                          <w:rFonts w:eastAsia="Times New Roman"/>
                          <w:i/>
                          <w:sz w:val="22"/>
                          <w:szCs w:val="22"/>
                          <w:lang w:val="eu-ES"/>
                        </w:rPr>
                        <w:t>2015eko abenduak 16</w:t>
                      </w:r>
                    </w:p>
                    <w:p w:rsidR="00491DB4" w:rsidRPr="00491DB4" w:rsidRDefault="00491DB4" w:rsidP="00491DB4">
                      <w:pPr>
                        <w:jc w:val="both"/>
                        <w:rPr>
                          <w:rFonts w:eastAsia="Times New Roman"/>
                          <w:i/>
                          <w:sz w:val="22"/>
                          <w:szCs w:val="22"/>
                          <w:lang w:val="eu-ES"/>
                        </w:rPr>
                      </w:pPr>
                      <w:r w:rsidRPr="00AD31E2">
                        <w:rPr>
                          <w:rFonts w:eastAsia="Times New Roman"/>
                          <w:b/>
                          <w:i/>
                          <w:sz w:val="22"/>
                          <w:szCs w:val="22"/>
                          <w:lang w:val="eu-ES"/>
                        </w:rPr>
                        <w:t>ORDUA:</w:t>
                      </w:r>
                      <w:r w:rsidRPr="00491DB4">
                        <w:rPr>
                          <w:rFonts w:eastAsia="Times New Roman"/>
                          <w:sz w:val="22"/>
                          <w:szCs w:val="22"/>
                          <w:lang w:val="eu-ES"/>
                        </w:rPr>
                        <w:t xml:space="preserve"> </w:t>
                      </w:r>
                      <w:r w:rsidRPr="00AD31E2">
                        <w:rPr>
                          <w:rFonts w:eastAsia="Times New Roman"/>
                          <w:i/>
                          <w:sz w:val="22"/>
                          <w:szCs w:val="22"/>
                          <w:lang w:val="eu-ES"/>
                        </w:rPr>
                        <w:t>12,30 h</w:t>
                      </w:r>
                    </w:p>
                    <w:p w:rsidR="00491DB4" w:rsidRPr="00491DB4" w:rsidRDefault="00491DB4" w:rsidP="00491DB4">
                      <w:pPr>
                        <w:jc w:val="both"/>
                        <w:rPr>
                          <w:rFonts w:eastAsia="Times New Roman"/>
                          <w:i/>
                          <w:sz w:val="22"/>
                          <w:szCs w:val="22"/>
                          <w:lang w:val="eu-ES"/>
                        </w:rPr>
                      </w:pPr>
                      <w:r w:rsidRPr="00AD31E2">
                        <w:rPr>
                          <w:rFonts w:eastAsia="Times New Roman"/>
                          <w:b/>
                          <w:i/>
                          <w:sz w:val="22"/>
                          <w:szCs w:val="22"/>
                          <w:lang w:val="eu-ES"/>
                        </w:rPr>
                        <w:t>LEKUA:</w:t>
                      </w:r>
                      <w:r w:rsidRPr="00491DB4">
                        <w:rPr>
                          <w:rFonts w:eastAsia="Times New Roman"/>
                          <w:b/>
                          <w:i/>
                          <w:sz w:val="22"/>
                          <w:szCs w:val="22"/>
                          <w:lang w:val="eu-ES"/>
                        </w:rPr>
                        <w:t xml:space="preserve"> </w:t>
                      </w:r>
                      <w:r w:rsidRPr="00AD31E2">
                        <w:rPr>
                          <w:rFonts w:eastAsia="Times New Roman"/>
                          <w:i/>
                          <w:sz w:val="22"/>
                          <w:szCs w:val="22"/>
                          <w:lang w:val="eu-ES"/>
                        </w:rPr>
                        <w:t>Donostia, Gipuzkoako Foru Aldundiko Jauregia (Jargi aretoa).</w:t>
                      </w:r>
                    </w:p>
                    <w:p w:rsidR="00491DB4" w:rsidRPr="00491DB4" w:rsidRDefault="00491DB4" w:rsidP="00491DB4">
                      <w:pPr>
                        <w:jc w:val="both"/>
                        <w:rPr>
                          <w:rFonts w:eastAsia="Times New Roman"/>
                          <w:sz w:val="22"/>
                          <w:szCs w:val="22"/>
                          <w:lang w:val="eu-ES"/>
                        </w:rPr>
                      </w:pPr>
                      <w:r w:rsidRPr="00AD31E2">
                        <w:rPr>
                          <w:rFonts w:eastAsia="Times New Roman"/>
                          <w:b/>
                          <w:i/>
                          <w:sz w:val="22"/>
                          <w:szCs w:val="22"/>
                          <w:lang w:val="eu-ES"/>
                        </w:rPr>
                        <w:t>GAI ZERRENDA:</w:t>
                      </w:r>
                      <w:r w:rsidRPr="00491DB4">
                        <w:rPr>
                          <w:rFonts w:eastAsia="Times New Roman"/>
                          <w:sz w:val="22"/>
                          <w:szCs w:val="22"/>
                          <w:lang w:val="eu-ES"/>
                        </w:rPr>
                        <w:t xml:space="preserve"> </w:t>
                      </w:r>
                    </w:p>
                    <w:p w:rsidR="00491DB4" w:rsidRPr="00491DB4" w:rsidRDefault="00491DB4" w:rsidP="00491DB4">
                      <w:pPr>
                        <w:ind w:left="2124"/>
                        <w:jc w:val="both"/>
                        <w:rPr>
                          <w:rFonts w:eastAsia="Times New Roman"/>
                          <w:i/>
                          <w:sz w:val="22"/>
                          <w:szCs w:val="22"/>
                          <w:lang w:val="eu-ES"/>
                        </w:rPr>
                      </w:pPr>
                      <w:r w:rsidRPr="00AD31E2">
                        <w:rPr>
                          <w:rFonts w:eastAsia="Times New Roman"/>
                          <w:i/>
                          <w:sz w:val="22"/>
                          <w:szCs w:val="22"/>
                          <w:lang w:val="eu-ES"/>
                        </w:rPr>
                        <w:t xml:space="preserve">1.- Zorroari buruzko dekretua eta udal eskumeneko gizarte zerbitzuak. </w:t>
                      </w:r>
                      <w:r w:rsidRPr="00491DB4">
                        <w:rPr>
                          <w:rFonts w:eastAsia="Times New Roman"/>
                          <w:i/>
                          <w:sz w:val="22"/>
                          <w:szCs w:val="22"/>
                          <w:lang w:val="eu-ES"/>
                        </w:rPr>
                        <w:t xml:space="preserve"> </w:t>
                      </w:r>
                    </w:p>
                    <w:p w:rsidR="00491DB4" w:rsidRPr="00491DB4" w:rsidRDefault="00491DB4" w:rsidP="00491DB4">
                      <w:pPr>
                        <w:ind w:left="1416" w:firstLine="708"/>
                        <w:jc w:val="both"/>
                        <w:rPr>
                          <w:rFonts w:eastAsia="Times New Roman"/>
                          <w:i/>
                          <w:sz w:val="22"/>
                          <w:szCs w:val="22"/>
                          <w:lang w:val="eu-ES"/>
                        </w:rPr>
                      </w:pPr>
                      <w:r w:rsidRPr="00AD31E2">
                        <w:rPr>
                          <w:rFonts w:eastAsia="Times New Roman"/>
                          <w:i/>
                          <w:sz w:val="22"/>
                          <w:szCs w:val="22"/>
                          <w:lang w:val="eu-ES"/>
                        </w:rPr>
                        <w:t>2.- Gizarte zerbitzuen mapa.</w:t>
                      </w:r>
                    </w:p>
                    <w:p w:rsidR="00491DB4" w:rsidRPr="00491DB4" w:rsidRDefault="00491DB4" w:rsidP="00491DB4">
                      <w:pPr>
                        <w:ind w:left="2124"/>
                        <w:jc w:val="both"/>
                        <w:rPr>
                          <w:rFonts w:eastAsia="Times New Roman"/>
                          <w:i/>
                          <w:sz w:val="22"/>
                          <w:szCs w:val="22"/>
                          <w:lang w:val="eu-ES"/>
                        </w:rPr>
                      </w:pPr>
                      <w:r w:rsidRPr="00AD31E2">
                        <w:rPr>
                          <w:rFonts w:eastAsia="Times New Roman"/>
                          <w:i/>
                          <w:sz w:val="22"/>
                          <w:szCs w:val="22"/>
                          <w:lang w:val="eu-ES"/>
                        </w:rPr>
                        <w:t>3.- Udal eskumeneko zerbitzuetarako inbertsioen aparteko funtsa.</w:t>
                      </w:r>
                    </w:p>
                    <w:p w:rsidR="00491DB4" w:rsidRPr="00491DB4" w:rsidRDefault="00491DB4" w:rsidP="00491DB4">
                      <w:pPr>
                        <w:ind w:left="2124"/>
                        <w:jc w:val="both"/>
                        <w:rPr>
                          <w:rFonts w:eastAsia="Times New Roman"/>
                          <w:i/>
                          <w:sz w:val="22"/>
                          <w:szCs w:val="22"/>
                          <w:lang w:val="eu-ES"/>
                        </w:rPr>
                      </w:pPr>
                      <w:r w:rsidRPr="00AD31E2">
                        <w:rPr>
                          <w:rFonts w:eastAsia="Times New Roman"/>
                          <w:i/>
                          <w:sz w:val="22"/>
                          <w:szCs w:val="22"/>
                          <w:lang w:val="eu-ES"/>
                        </w:rPr>
                        <w:t>4.- Gipuzkoako gizarte zerbitzuen erakunde arteko mahaia.</w:t>
                      </w:r>
                    </w:p>
                    <w:p w:rsidR="00491DB4" w:rsidRPr="000C10E0" w:rsidRDefault="00491DB4" w:rsidP="00491DB4">
                      <w:pPr>
                        <w:jc w:val="both"/>
                        <w:rPr>
                          <w:rFonts w:eastAsia="Times New Roman"/>
                          <w:sz w:val="22"/>
                          <w:szCs w:val="22"/>
                        </w:rPr>
                      </w:pPr>
                      <w:r w:rsidRPr="000C10E0">
                        <w:rPr>
                          <w:rFonts w:eastAsia="Times New Roman"/>
                          <w:sz w:val="22"/>
                          <w:szCs w:val="22"/>
                        </w:rPr>
                        <w:t>_______________________________________________________________</w:t>
                      </w:r>
                      <w:r>
                        <w:rPr>
                          <w:rFonts w:eastAsia="Times New Roman"/>
                          <w:sz w:val="22"/>
                          <w:szCs w:val="22"/>
                        </w:rPr>
                        <w:t>______</w:t>
                      </w:r>
                    </w:p>
                    <w:p w:rsidR="00491DB4" w:rsidRPr="000C10E0" w:rsidRDefault="00491DB4" w:rsidP="00491DB4">
                      <w:pPr>
                        <w:jc w:val="both"/>
                        <w:rPr>
                          <w:rFonts w:eastAsia="Times New Roman"/>
                          <w:sz w:val="22"/>
                          <w:szCs w:val="22"/>
                        </w:rPr>
                      </w:pPr>
                    </w:p>
                    <w:p w:rsidR="00913078" w:rsidRPr="00913078" w:rsidRDefault="00491DB4" w:rsidP="00913078">
                      <w:pPr>
                        <w:pStyle w:val="Textosinformato"/>
                        <w:rPr>
                          <w:rFonts w:ascii="Calibri" w:hAnsi="Calibri"/>
                          <w:sz w:val="22"/>
                          <w:lang w:eastAsia="en-US"/>
                        </w:rPr>
                      </w:pPr>
                      <w:proofErr w:type="spellStart"/>
                      <w:r w:rsidRPr="00AD31E2">
                        <w:rPr>
                          <w:rFonts w:eastAsia="Times New Roman"/>
                          <w:sz w:val="22"/>
                          <w:szCs w:val="22"/>
                          <w:lang w:val="eu-ES"/>
                        </w:rPr>
                        <w:t>Aforo</w:t>
                      </w:r>
                      <w:proofErr w:type="spellEnd"/>
                      <w:r w:rsidRPr="00AD31E2">
                        <w:rPr>
                          <w:rFonts w:eastAsia="Times New Roman"/>
                          <w:sz w:val="22"/>
                          <w:szCs w:val="22"/>
                          <w:lang w:val="eu-ES"/>
                        </w:rPr>
                        <w:t xml:space="preserve"> arazoak saihesteko, ezinbestekoa da esteka honetan izena ematea:</w:t>
                      </w:r>
                      <w:r w:rsidR="00913078" w:rsidRPr="00913078">
                        <w:rPr>
                          <w:rFonts w:ascii="Calibri" w:hAnsi="Calibri"/>
                          <w:sz w:val="22"/>
                          <w:lang w:eastAsia="en-US"/>
                        </w:rPr>
                        <w:t xml:space="preserve"> </w:t>
                      </w:r>
                    </w:p>
                    <w:p w:rsidR="00491DB4" w:rsidRPr="000C10E0" w:rsidRDefault="0080754D" w:rsidP="00913078">
                      <w:pPr>
                        <w:jc w:val="both"/>
                        <w:rPr>
                          <w:rFonts w:eastAsia="Times New Roman"/>
                          <w:sz w:val="22"/>
                          <w:szCs w:val="22"/>
                        </w:rPr>
                      </w:pPr>
                      <w:hyperlink r:id="rId9" w:history="1">
                        <w:r w:rsidR="00913078" w:rsidRPr="00913078">
                          <w:rPr>
                            <w:rFonts w:ascii="Calibri" w:hAnsi="Calibri"/>
                            <w:color w:val="0000FF" w:themeColor="hyperlink"/>
                            <w:sz w:val="22"/>
                            <w:szCs w:val="22"/>
                            <w:u w:val="single"/>
                            <w:lang w:eastAsia="en-US"/>
                          </w:rPr>
                          <w:t>http://gizartepolitika.eus/eu/abenduak-16ko-bilera</w:t>
                        </w:r>
                      </w:hyperlink>
                    </w:p>
                    <w:p w:rsidR="00491DB4" w:rsidRPr="000C10E0" w:rsidRDefault="00491DB4" w:rsidP="00491DB4">
                      <w:pPr>
                        <w:jc w:val="both"/>
                        <w:rPr>
                          <w:rFonts w:eastAsia="Times New Roman"/>
                          <w:sz w:val="22"/>
                          <w:szCs w:val="22"/>
                          <w:u w:val="single"/>
                        </w:rPr>
                      </w:pPr>
                      <w:r w:rsidRPr="00AD31E2">
                        <w:rPr>
                          <w:rFonts w:eastAsia="Times New Roman"/>
                          <w:sz w:val="22"/>
                          <w:szCs w:val="22"/>
                          <w:lang w:val="eu-ES"/>
                        </w:rPr>
                        <w:t>Izena emateko azken eguna: 2015eko abenduak 11</w:t>
                      </w:r>
                    </w:p>
                    <w:p w:rsidR="00491DB4" w:rsidRPr="000C10E0" w:rsidRDefault="00491DB4" w:rsidP="00491DB4">
                      <w:pPr>
                        <w:jc w:val="both"/>
                        <w:rPr>
                          <w:rFonts w:eastAsia="Times New Roman"/>
                          <w:sz w:val="22"/>
                          <w:szCs w:val="22"/>
                          <w:u w:val="single"/>
                        </w:rPr>
                      </w:pPr>
                    </w:p>
                    <w:p w:rsidR="00491DB4" w:rsidRDefault="00491DB4" w:rsidP="00491DB4">
                      <w:pPr>
                        <w:jc w:val="center"/>
                        <w:rPr>
                          <w:rFonts w:eastAsia="Times New Roman"/>
                          <w:sz w:val="22"/>
                          <w:szCs w:val="22"/>
                        </w:rPr>
                      </w:pPr>
                    </w:p>
                    <w:p w:rsidR="00491DB4" w:rsidRPr="000C10E0" w:rsidRDefault="00491DB4" w:rsidP="00491DB4">
                      <w:pPr>
                        <w:jc w:val="center"/>
                        <w:rPr>
                          <w:rFonts w:eastAsia="Times New Roman"/>
                          <w:sz w:val="22"/>
                          <w:szCs w:val="22"/>
                        </w:rPr>
                      </w:pPr>
                      <w:bookmarkStart w:id="1" w:name="_GoBack"/>
                      <w:bookmarkEnd w:id="1"/>
                    </w:p>
                    <w:p w:rsidR="00491DB4" w:rsidRPr="000C10E0" w:rsidRDefault="00491DB4" w:rsidP="00491DB4">
                      <w:pPr>
                        <w:jc w:val="center"/>
                        <w:rPr>
                          <w:rFonts w:eastAsia="Times New Roman"/>
                          <w:sz w:val="22"/>
                          <w:szCs w:val="22"/>
                        </w:rPr>
                      </w:pPr>
                    </w:p>
                    <w:p w:rsidR="00491DB4" w:rsidRDefault="00491DB4" w:rsidP="00491DB4">
                      <w:pPr>
                        <w:jc w:val="center"/>
                      </w:pPr>
                    </w:p>
                  </w:txbxContent>
                </v:textbox>
                <w10:anchorlock/>
              </v:rect>
            </w:pict>
          </mc:Fallback>
        </mc:AlternateContent>
      </w:r>
    </w:p>
    <w:sectPr w:rsidR="005601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28"/>
    <w:rsid w:val="00287A28"/>
    <w:rsid w:val="00491DB4"/>
    <w:rsid w:val="0056017F"/>
    <w:rsid w:val="0080754D"/>
    <w:rsid w:val="00913078"/>
    <w:rsid w:val="00CE0648"/>
    <w:rsid w:val="00CF5FF6"/>
    <w:rsid w:val="00E83C64"/>
    <w:rsid w:val="00F757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DB4"/>
    <w:pPr>
      <w:spacing w:after="0" w:line="240" w:lineRule="auto"/>
    </w:pPr>
    <w:rPr>
      <w:rFonts w:ascii="Arial" w:eastAsia="Calibri" w:hAnsi="Arial"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0648"/>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E0648"/>
    <w:rPr>
      <w:rFonts w:ascii="Tahoma" w:hAnsi="Tahoma" w:cs="Tahoma"/>
      <w:sz w:val="16"/>
      <w:szCs w:val="16"/>
    </w:rPr>
  </w:style>
  <w:style w:type="paragraph" w:styleId="Textosinformato">
    <w:name w:val="Plain Text"/>
    <w:basedOn w:val="Normal"/>
    <w:link w:val="TextosinformatoCar"/>
    <w:uiPriority w:val="99"/>
    <w:semiHidden/>
    <w:unhideWhenUsed/>
    <w:rsid w:val="00913078"/>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913078"/>
    <w:rPr>
      <w:rFonts w:ascii="Consolas" w:eastAsia="Calibri" w:hAnsi="Consolas" w:cs="Times New Roman"/>
      <w:sz w:val="21"/>
      <w:szCs w:val="21"/>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DB4"/>
    <w:pPr>
      <w:spacing w:after="0" w:line="240" w:lineRule="auto"/>
    </w:pPr>
    <w:rPr>
      <w:rFonts w:ascii="Arial" w:eastAsia="Calibri" w:hAnsi="Arial"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0648"/>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E0648"/>
    <w:rPr>
      <w:rFonts w:ascii="Tahoma" w:hAnsi="Tahoma" w:cs="Tahoma"/>
      <w:sz w:val="16"/>
      <w:szCs w:val="16"/>
    </w:rPr>
  </w:style>
  <w:style w:type="paragraph" w:styleId="Textosinformato">
    <w:name w:val="Plain Text"/>
    <w:basedOn w:val="Normal"/>
    <w:link w:val="TextosinformatoCar"/>
    <w:uiPriority w:val="99"/>
    <w:semiHidden/>
    <w:unhideWhenUsed/>
    <w:rsid w:val="00913078"/>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913078"/>
    <w:rPr>
      <w:rFonts w:ascii="Consolas" w:eastAsia="Calibri" w:hAnsi="Consolas" w:cs="Times New Roman"/>
      <w:sz w:val="21"/>
      <w:szCs w:val="2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5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zartepolitika.eus/eu/abenduak-16ko-bilera"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izartepolitika.eus/eu/abenduak-16ko-bile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13</Words>
  <Characters>74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IZFE</dc:creator>
  <cp:lastModifiedBy>Alma Moro</cp:lastModifiedBy>
  <cp:revision>7</cp:revision>
  <dcterms:created xsi:type="dcterms:W3CDTF">2015-12-01T09:35:00Z</dcterms:created>
  <dcterms:modified xsi:type="dcterms:W3CDTF">2015-12-02T09:38:00Z</dcterms:modified>
</cp:coreProperties>
</file>