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ED" w:rsidRDefault="001644ED" w:rsidP="009D4A24">
      <w:pPr>
        <w:jc w:val="center"/>
        <w:rPr>
          <w:rFonts w:ascii="Arial" w:eastAsia="Arial" w:hAnsi="Arial" w:cs="Arial"/>
          <w:b/>
          <w:bCs/>
          <w:sz w:val="24"/>
          <w:szCs w:val="24"/>
          <w:bdr w:val="nil"/>
          <w:lang w:val="eu-ES"/>
        </w:rPr>
      </w:pPr>
    </w:p>
    <w:p w:rsidR="001644ED" w:rsidRPr="001644ED" w:rsidRDefault="001644ED" w:rsidP="009D4A24">
      <w:pPr>
        <w:jc w:val="center"/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</w:pPr>
    </w:p>
    <w:p w:rsidR="001644ED" w:rsidRDefault="00BD54CD" w:rsidP="009D4A24">
      <w:pPr>
        <w:jc w:val="center"/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</w:pPr>
      <w:bookmarkStart w:id="0" w:name="_GoBack"/>
      <w:r w:rsidRPr="001644ED"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  <w:t xml:space="preserve">Etxerik gabeko pertsonen kontrako eraso, intolerantzia eta </w:t>
      </w:r>
    </w:p>
    <w:p w:rsidR="00EA3ED7" w:rsidRPr="001644ED" w:rsidRDefault="00BD54CD" w:rsidP="009D4A2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1644ED"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  <w:t>g</w:t>
      </w:r>
      <w:r w:rsidRPr="001644ED"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  <w:t>o</w:t>
      </w:r>
      <w:r w:rsidRPr="001644ED">
        <w:rPr>
          <w:rFonts w:ascii="Arial" w:eastAsia="Arial" w:hAnsi="Arial" w:cs="Arial"/>
          <w:b/>
          <w:bCs/>
          <w:sz w:val="28"/>
          <w:szCs w:val="28"/>
          <w:bdr w:val="nil"/>
          <w:lang w:val="eu-ES"/>
        </w:rPr>
        <w:t>rrotoaren aurkako adierazpena</w:t>
      </w:r>
    </w:p>
    <w:bookmarkEnd w:id="0"/>
    <w:p w:rsidR="00C44BB7" w:rsidRPr="001644ED" w:rsidRDefault="00BD54CD" w:rsidP="00C44BB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bdr w:val="nil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Azken hilabeteotan, berriz ere etxerik gabeko pertsonen aurkako erasoak gertatu dira gure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i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n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guruan, eta horietako batzuk ustezko lesio- eta gorroto-delitu gisa tipifikatu dira.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Gorroto-delituaren arrazoia talde jakin baten aurkako intolerantzia izan daiteke, betiere, talde h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o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rretako kideek funtsezko ezaugarriren bat partekatzen badute; esate baterako, kasu honetan, etxerik gabekoak izatea eta muturreko bazterketa sozialean egotea.</w:t>
      </w:r>
    </w:p>
    <w:p w:rsidR="009D4A24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9577B9" w:rsidRDefault="00BD54C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Horrelako gertakariak gure inguruan ohikoak ez badira ere, zoritxarrez, ez dira kasu isolatuak. 2016an, etxebizitza-bazterketa larriko egoeran </w:t>
      </w:r>
      <w:r w:rsidR="002210E3">
        <w:rPr>
          <w:rFonts w:ascii="Arial" w:eastAsia="Arial" w:hAnsi="Arial" w:cs="Arial"/>
          <w:sz w:val="20"/>
          <w:szCs w:val="20"/>
          <w:bdr w:val="nil"/>
          <w:lang w:val="eu-ES"/>
        </w:rPr>
        <w:t>ze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uden pertsonak zenbatu ziren Euskadiko 24 udalerritan. Datu horiek kontuan hartuta, honakoa nabarmentzen da:</w:t>
      </w:r>
    </w:p>
    <w:p w:rsidR="009D4A24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BD54CD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Inoiz kalean lo egin duten gizonen %22k eta emakumeen %30ek eraso fisikoren bat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jasan izan d</w:t>
      </w:r>
      <w:r w:rsidR="004834D0">
        <w:rPr>
          <w:rFonts w:ascii="Arial" w:eastAsia="Arial" w:hAnsi="Arial" w:cs="Arial"/>
          <w:sz w:val="20"/>
          <w:szCs w:val="20"/>
          <w:bdr w:val="nil"/>
          <w:lang w:val="eu-ES"/>
        </w:rPr>
        <w:t>u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te, gutxienez, behin.</w:t>
      </w:r>
    </w:p>
    <w:p w:rsidR="009D4A24" w:rsidRPr="009577B9" w:rsidRDefault="00EB16BD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BD54CD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>Gizonen %44k eta emakumeen %49k irainak eta mehatxuak jasan izan dituzte, eta %40, berriz, lapurreten biktima izan dira.</w:t>
      </w:r>
    </w:p>
    <w:p w:rsidR="009D4A24" w:rsidRPr="009577B9" w:rsidRDefault="00EB16BD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BD54CD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>Inoiz kalean lo egin duten emakumeen %20 sexu-erasoen biktima izan dira.</w:t>
      </w:r>
    </w:p>
    <w:p w:rsidR="009D4A24" w:rsidRPr="009577B9" w:rsidRDefault="00EB16BD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BD54CD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>Etxerik gabeko pertsonen herenak dio ez duela eraso fisikorik, sexu-indarkeriarik,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iruzurrik, lapurretarik edota irainik jasan.</w:t>
      </w:r>
    </w:p>
    <w:p w:rsidR="009D4A24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020375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7328C7" w:rsidRPr="009577B9" w:rsidRDefault="00BD54C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>Errealitate horren aurrean, Etxerik Gabeko Pertsonen Euskal Estrategiaren Jarraipen Batzordea osatzen dugun erakunde publikoek eta entitateek salaketarik irmoena eta arbuioa adierazi nahi ditugu etxerik gabeko pertsonen a</w:t>
      </w:r>
      <w:r w:rsidR="008F4577">
        <w:rPr>
          <w:rFonts w:ascii="Arial" w:eastAsia="Arial" w:hAnsi="Arial" w:cs="Arial"/>
          <w:sz w:val="20"/>
          <w:szCs w:val="20"/>
          <w:bdr w:val="nil"/>
          <w:lang w:val="eu-ES"/>
        </w:rPr>
        <w:t>urka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ko intolerantziaren, gorrotoaren eta mespretxuaren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u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rrean. Etxerik gabeko pertsonen </w:t>
      </w:r>
      <w:r w:rsidR="008F4577">
        <w:rPr>
          <w:rFonts w:ascii="Arial" w:eastAsia="Arial" w:hAnsi="Arial" w:cs="Arial"/>
          <w:sz w:val="20"/>
          <w:szCs w:val="20"/>
          <w:bdr w:val="nil"/>
          <w:lang w:val="eu-ES"/>
        </w:rPr>
        <w:t>aurka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ko gorroto-delituak giza eskubideen urraketa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nabarmenak dira. Eraso horiek bistaratzea eta salatzea </w:t>
      </w:r>
      <w:r w:rsidR="004D53E2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da ekintza horien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aurka </w:t>
      </w:r>
      <w:r w:rsidR="004D53E2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aritzeko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lehen urr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tsa.</w:t>
      </w:r>
    </w:p>
    <w:p w:rsidR="007328C7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9577B9" w:rsidRDefault="00BD54C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Hori dela eta, funtsezkotzat jotzen dugu herritar eta erakunde publiko guztiak sentsibilizatzea etxerik gabeko pertsonen aurkako gorroto-delituen inguruan, bai eta erakunde sozialen,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l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guntza-baliabideen eta polizien prebentzio-lana –koordinatua eta bateratua− sendotzea ere. Era berean, funtsezkotzat jotzen dugu probintzia bakoitzeko Fiskaltzetako Gorroto eta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Ba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z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terketa Delituen Atalak gertakari hauen jazarpenean inplikatzea. Gainera, agerian jarri nahi dugu erakunde guztiak prest daudela eraso horien egileak modu eredugarrian jazartzeko eta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zigortzeko, bai eta mota honetako gertakarien biktima izan diren pertsonei lege-babes eta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b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a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bes material guztia emateko ere.</w:t>
      </w:r>
    </w:p>
    <w:p w:rsidR="009D4A24" w:rsidRPr="00D04884" w:rsidRDefault="00EB16BD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  <w:lang w:val="eu-ES"/>
        </w:rPr>
      </w:pPr>
    </w:p>
    <w:p w:rsidR="007328C7" w:rsidRPr="009577B9" w:rsidRDefault="00BD54C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Calibri" w:hAnsi="Arial" w:cs="Arial"/>
          <w:sz w:val="20"/>
          <w:szCs w:val="20"/>
          <w:bdr w:val="nil"/>
          <w:lang w:val="eu-ES"/>
        </w:rPr>
        <w:t xml:space="preserve">Eusko Jaurlaritzako Enpleguko eta Gizarte Politiketako Sailak,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Ingurumen, Lurralde Plangintza eta Etxebizitza Sailak, eta Osasun Sailak, hiru Foru Aldundiek,</w:t>
      </w:r>
      <w:r w:rsidR="00D04884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</w:t>
      </w:r>
      <w:proofErr w:type="spellStart"/>
      <w:r w:rsidR="00D04884">
        <w:rPr>
          <w:rFonts w:ascii="Arial" w:eastAsia="Arial" w:hAnsi="Arial" w:cs="Arial"/>
          <w:sz w:val="20"/>
          <w:szCs w:val="20"/>
          <w:bdr w:val="nil"/>
          <w:lang w:val="eu-ES"/>
        </w:rPr>
        <w:t>EUDELek</w:t>
      </w:r>
      <w:proofErr w:type="spellEnd"/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eta Vitoria-Gasteiz, </w:t>
      </w:r>
      <w:proofErr w:type="spellStart"/>
      <w:r>
        <w:rPr>
          <w:rFonts w:ascii="Arial" w:eastAsia="Arial" w:hAnsi="Arial" w:cs="Arial"/>
          <w:sz w:val="20"/>
          <w:szCs w:val="20"/>
          <w:bdr w:val="nil"/>
          <w:lang w:val="eu-ES"/>
        </w:rPr>
        <w:t>Bilbao</w:t>
      </w:r>
      <w:proofErr w:type="spellEnd"/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bdr w:val="nil"/>
          <w:lang w:val="eu-ES"/>
        </w:rPr>
        <w:t>Donostia-San</w:t>
      </w:r>
      <w:proofErr w:type="spellEnd"/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bdr w:val="nil"/>
          <w:lang w:val="eu-ES"/>
        </w:rPr>
        <w:t>Sebastián</w:t>
      </w:r>
      <w:proofErr w:type="spellEnd"/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, Barakaldo, Getxo, Irun, Portugalete, Santurtzi eta Laudioko udalek bat egin dute Etxerik Gabeko Pertsonen Euskal Estrategia 2018-2021 delakoarekin. Hain zuzen ere, Estrategia horren helburuen artean dago etxebizitza-bazterketaren inguruko pertzepzio soziala nabarmentzea, komunitateko eragile guztiek egoera horiei aurre egiteko izan behar duten inplikazioa sendotzea, eta pertsona horiek bizi dituzten arrisku-egoerak </w:t>
      </w:r>
      <w:r w:rsidR="001644ED"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                   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pr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>e</w:t>
      </w:r>
      <w:r>
        <w:rPr>
          <w:rFonts w:ascii="Arial" w:eastAsia="Arial" w:hAnsi="Arial" w:cs="Arial"/>
          <w:sz w:val="20"/>
          <w:szCs w:val="20"/>
          <w:bdr w:val="nil"/>
          <w:lang w:val="eu-ES"/>
        </w:rPr>
        <w:t xml:space="preserve">benitzea. </w:t>
      </w:r>
    </w:p>
    <w:p w:rsidR="0024729A" w:rsidRPr="009577B9" w:rsidRDefault="00EB16BD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1644ED" w:rsidRDefault="00BD54CD" w:rsidP="001644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eastAsia="Arial" w:hAnsi="Arial" w:cs="Arial"/>
          <w:sz w:val="20"/>
          <w:szCs w:val="20"/>
          <w:bdr w:val="nil"/>
          <w:lang w:val="eu-ES"/>
        </w:rPr>
        <w:t>Estrategia hau sustatzen dugun erakunde eta entitate publikoek gizarte kohesionatua eraiki nahi dugu, eta hori ezin da inola ere uztartu mota horretako erasoekiko tolerantziarekin; hain zuzen ere, eraso horietako bat ere ez da zigorrik gabe geratuko Euskadin.</w:t>
      </w:r>
    </w:p>
    <w:sectPr w:rsidR="006953B9" w:rsidRPr="001644E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BD" w:rsidRDefault="00EB16BD">
      <w:pPr>
        <w:spacing w:after="0" w:line="240" w:lineRule="auto"/>
      </w:pPr>
      <w:r>
        <w:separator/>
      </w:r>
    </w:p>
  </w:endnote>
  <w:endnote w:type="continuationSeparator" w:id="0">
    <w:p w:rsidR="00EB16BD" w:rsidRDefault="00EB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761508"/>
      <w:docPartObj>
        <w:docPartGallery w:val="Page Numbers (Bottom of Page)"/>
        <w:docPartUnique/>
      </w:docPartObj>
    </w:sdtPr>
    <w:sdtEndPr/>
    <w:sdtContent>
      <w:p w:rsidR="005D687B" w:rsidRDefault="00BD54C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4ED" w:rsidRPr="001644ED">
          <w:rPr>
            <w:noProof/>
            <w:lang w:val="es-ES"/>
          </w:rPr>
          <w:t>1</w:t>
        </w:r>
        <w:r>
          <w:fldChar w:fldCharType="end"/>
        </w:r>
      </w:p>
    </w:sdtContent>
  </w:sdt>
  <w:p w:rsidR="005D687B" w:rsidRDefault="00EB16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BD" w:rsidRDefault="00EB16BD">
      <w:pPr>
        <w:spacing w:after="0" w:line="240" w:lineRule="auto"/>
      </w:pPr>
      <w:r>
        <w:separator/>
      </w:r>
    </w:p>
  </w:footnote>
  <w:footnote w:type="continuationSeparator" w:id="0">
    <w:p w:rsidR="00EB16BD" w:rsidRDefault="00EB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6A0"/>
    <w:multiLevelType w:val="hybridMultilevel"/>
    <w:tmpl w:val="B19E94FE"/>
    <w:lvl w:ilvl="0" w:tplc="0D386E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65E6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65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82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8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61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0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88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60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25B36"/>
    <w:multiLevelType w:val="hybridMultilevel"/>
    <w:tmpl w:val="BA76EB40"/>
    <w:lvl w:ilvl="0" w:tplc="307C6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6E4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A8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C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05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C1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28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C4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06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77"/>
    <w:rsid w:val="001644ED"/>
    <w:rsid w:val="002210E3"/>
    <w:rsid w:val="00247284"/>
    <w:rsid w:val="004834D0"/>
    <w:rsid w:val="004B494F"/>
    <w:rsid w:val="004D53E2"/>
    <w:rsid w:val="00861B24"/>
    <w:rsid w:val="008F4577"/>
    <w:rsid w:val="00BD54CD"/>
    <w:rsid w:val="00D04884"/>
    <w:rsid w:val="00E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3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953B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53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87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87B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3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953B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53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87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87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722A42-E3A4-49F2-A8E4-3E3A8AA3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Alma Moro</cp:lastModifiedBy>
  <cp:revision>4</cp:revision>
  <cp:lastPrinted>2018-04-30T12:03:00Z</cp:lastPrinted>
  <dcterms:created xsi:type="dcterms:W3CDTF">2018-04-30T12:12:00Z</dcterms:created>
  <dcterms:modified xsi:type="dcterms:W3CDTF">2018-05-03T13:03:00Z</dcterms:modified>
</cp:coreProperties>
</file>